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549A312E" w:rsidR="00792C6E" w:rsidRDefault="29B93371" w:rsidP="5B48FC4B">
      <w:pPr>
        <w:jc w:val="center"/>
        <w:rPr>
          <w:b/>
          <w:bCs/>
        </w:rPr>
      </w:pPr>
      <w:r w:rsidRPr="5B48FC4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DD66776" w:rsidRPr="5B48FC4B">
        <w:rPr>
          <w:b/>
          <w:bCs/>
        </w:rPr>
        <w:t xml:space="preserve">Invitation to Nominate Representative to the Coventry and Warwickshire ICS </w:t>
      </w:r>
      <w:r w:rsidR="275FE78B" w:rsidRPr="5B48FC4B">
        <w:rPr>
          <w:b/>
          <w:bCs/>
        </w:rPr>
        <w:t>Clinical and Care Forum</w:t>
      </w:r>
    </w:p>
    <w:p w14:paraId="50E9F67F" w14:textId="394BD040" w:rsidR="275FE78B" w:rsidRDefault="275FE78B" w:rsidP="51CF3E03">
      <w:pPr>
        <w:rPr>
          <w:b/>
          <w:bCs/>
        </w:rPr>
      </w:pPr>
      <w:r w:rsidRPr="51CF3E03">
        <w:rPr>
          <w:b/>
          <w:bCs/>
        </w:rPr>
        <w:t>Purpose</w:t>
      </w:r>
    </w:p>
    <w:p w14:paraId="0B43CF1D" w14:textId="37982F9D" w:rsidR="7B0E6533" w:rsidRDefault="2F45F043" w:rsidP="7B0E6533">
      <w:r>
        <w:t xml:space="preserve">The </w:t>
      </w:r>
      <w:r w:rsidR="6D4966C5">
        <w:t>p</w:t>
      </w:r>
      <w:r>
        <w:t>urpose of the Coventry &amp; Warwickshire ICS Clinical and Care Forum is</w:t>
      </w:r>
      <w:r w:rsidR="0FD2F0F4">
        <w:t xml:space="preserve"> to:</w:t>
      </w:r>
    </w:p>
    <w:p w14:paraId="3D57DF6E" w14:textId="49243318" w:rsidR="2F45F043" w:rsidRDefault="2F45F043" w:rsidP="51CF3E03">
      <w:pPr>
        <w:pStyle w:val="ListParagraph"/>
        <w:numPr>
          <w:ilvl w:val="0"/>
          <w:numId w:val="4"/>
        </w:numPr>
      </w:pPr>
      <w:r>
        <w:t>Provide evidence based clinical advice and opinion to the ICS on a broad range of matters and if required undertake reviews to areas where there may be a lack of consensus in the system</w:t>
      </w:r>
    </w:p>
    <w:p w14:paraId="67A7F2C4" w14:textId="5B20F5F1" w:rsidR="2F45F043" w:rsidRDefault="2F45F043" w:rsidP="51CF3E03">
      <w:pPr>
        <w:pStyle w:val="ListParagraph"/>
        <w:numPr>
          <w:ilvl w:val="0"/>
          <w:numId w:val="4"/>
        </w:numPr>
      </w:pPr>
      <w:r>
        <w:t xml:space="preserve">Provide independent clinical advice </w:t>
      </w:r>
      <w:r w:rsidR="5CF72B5E">
        <w:t xml:space="preserve">and recommendations </w:t>
      </w:r>
      <w:r>
        <w:t xml:space="preserve">in respect of major service </w:t>
      </w:r>
      <w:r w:rsidR="11459222">
        <w:t xml:space="preserve">transformation </w:t>
      </w:r>
      <w:r>
        <w:t>programmes</w:t>
      </w:r>
      <w:r w:rsidR="569094FA">
        <w:t xml:space="preserve">  </w:t>
      </w:r>
    </w:p>
    <w:p w14:paraId="300F81D3" w14:textId="123F8306" w:rsidR="53C87319" w:rsidRDefault="53C87319" w:rsidP="51CF3E03">
      <w:pPr>
        <w:pStyle w:val="ListParagraph"/>
        <w:numPr>
          <w:ilvl w:val="0"/>
          <w:numId w:val="4"/>
        </w:numPr>
      </w:pPr>
      <w:r>
        <w:t>C</w:t>
      </w:r>
      <w:r w:rsidR="2F45F043">
        <w:t xml:space="preserve">oordinate clinical opinion from health and care professionals across the </w:t>
      </w:r>
      <w:r w:rsidR="78384D8B">
        <w:t xml:space="preserve">ICS </w:t>
      </w:r>
      <w:r w:rsidR="1619C7A2">
        <w:t>and w</w:t>
      </w:r>
      <w:r w:rsidR="2F45F043">
        <w:t xml:space="preserve">ork to identify aspects of care where there is potential to improve outcomes and value. </w:t>
      </w:r>
    </w:p>
    <w:p w14:paraId="5B1DC3F5" w14:textId="372ED6DE" w:rsidR="1878BEEC" w:rsidRDefault="1878BEEC" w:rsidP="4FC531F6">
      <w:pPr>
        <w:pStyle w:val="ListParagraph"/>
        <w:numPr>
          <w:ilvl w:val="0"/>
          <w:numId w:val="4"/>
        </w:numPr>
      </w:pPr>
      <w:r>
        <w:t>P</w:t>
      </w:r>
      <w:r w:rsidR="2F45F043">
        <w:t xml:space="preserve">romote Clinical Leadership </w:t>
      </w:r>
      <w:r w:rsidR="45595C07">
        <w:t>and Clinical Networking as a means of service and quality improvement</w:t>
      </w:r>
    </w:p>
    <w:p w14:paraId="3C13B025" w14:textId="331EA796" w:rsidR="53DA5F5D" w:rsidRDefault="53DA5F5D" w:rsidP="51CF3E03">
      <w:pPr>
        <w:rPr>
          <w:b/>
          <w:bCs/>
        </w:rPr>
      </w:pPr>
      <w:r w:rsidRPr="51CF3E03">
        <w:rPr>
          <w:b/>
          <w:bCs/>
        </w:rPr>
        <w:t>Representation</w:t>
      </w:r>
    </w:p>
    <w:p w14:paraId="1B82340E" w14:textId="3FDB0FDA" w:rsidR="53DA5F5D" w:rsidRDefault="53DA5F5D" w:rsidP="51CF3E03">
      <w:r>
        <w:t>Representation should be broad, multi-disciplinary</w:t>
      </w:r>
      <w:r w:rsidR="6F1B02F9">
        <w:t xml:space="preserve"> (specifically not just doctors)</w:t>
      </w:r>
      <w:r>
        <w:t xml:space="preserve">, </w:t>
      </w:r>
      <w:bookmarkStart w:id="0" w:name="_Int_bdOXeUef"/>
      <w:r>
        <w:t>collaborative</w:t>
      </w:r>
      <w:bookmarkEnd w:id="0"/>
      <w:r>
        <w:t xml:space="preserve"> and sufficiently senior to be able to </w:t>
      </w:r>
      <w:r w:rsidR="2F05F996">
        <w:t xml:space="preserve">identify and involve subject matter experts within </w:t>
      </w:r>
      <w:r w:rsidR="725DDAFD">
        <w:t>their organisation or group.</w:t>
      </w:r>
    </w:p>
    <w:p w14:paraId="43D6D87A" w14:textId="08812916" w:rsidR="77B41B69" w:rsidRDefault="77B41B69" w:rsidP="51CF3E03">
      <w:r>
        <w:t xml:space="preserve">Representatives should be nominated by their professional group or organisation.  Representatives should be adequately </w:t>
      </w:r>
      <w:r w:rsidR="36DD32BD">
        <w:t>resourced</w:t>
      </w:r>
      <w:r>
        <w:t xml:space="preserve"> for their commitment to the Clinical and Care Forum</w:t>
      </w:r>
      <w:r w:rsidR="00C9DEAF">
        <w:t xml:space="preserve"> by their organisation</w:t>
      </w:r>
      <w:r w:rsidR="578AC024">
        <w:t>.  It is recommended that the time commitment for representatives should be 4 hours per month</w:t>
      </w:r>
      <w:r w:rsidR="33DC6AF8">
        <w:t xml:space="preserve"> to allow for meetings and work outside meetings</w:t>
      </w:r>
      <w:r w:rsidR="578AC024">
        <w:t>.</w:t>
      </w:r>
    </w:p>
    <w:p w14:paraId="21B03199" w14:textId="6F1B524B" w:rsidR="3DB2B96D" w:rsidRDefault="7E2550B9" w:rsidP="51CF3E03">
      <w:r>
        <w:t xml:space="preserve">Representation will be from each trust, primary </w:t>
      </w:r>
      <w:proofErr w:type="gramStart"/>
      <w:r>
        <w:t>care</w:t>
      </w:r>
      <w:proofErr w:type="gramEnd"/>
      <w:r>
        <w:t xml:space="preserve"> and social care.  In </w:t>
      </w:r>
      <w:r w:rsidR="15B61220">
        <w:t>addition,</w:t>
      </w:r>
      <w:r>
        <w:t xml:space="preserve"> s</w:t>
      </w:r>
      <w:r w:rsidR="3DB2B96D">
        <w:t xml:space="preserve">ome </w:t>
      </w:r>
      <w:r w:rsidR="2865A32A">
        <w:t xml:space="preserve">professional </w:t>
      </w:r>
      <w:r w:rsidR="3DB2B96D">
        <w:t xml:space="preserve">groups </w:t>
      </w:r>
      <w:r w:rsidR="5D77C352">
        <w:t>will</w:t>
      </w:r>
      <w:r w:rsidR="3DB2B96D">
        <w:t xml:space="preserve"> </w:t>
      </w:r>
      <w:r w:rsidR="5354C9A9">
        <w:t xml:space="preserve">be </w:t>
      </w:r>
      <w:r w:rsidR="3DB2B96D">
        <w:t xml:space="preserve">invited </w:t>
      </w:r>
      <w:r w:rsidR="09C1523D">
        <w:t>to</w:t>
      </w:r>
      <w:r w:rsidR="3DB2B96D">
        <w:t xml:space="preserve"> </w:t>
      </w:r>
      <w:r w:rsidR="09C1523D">
        <w:t xml:space="preserve">improve their representation at </w:t>
      </w:r>
      <w:r w:rsidR="3DB2B96D">
        <w:t>system level</w:t>
      </w:r>
      <w:r w:rsidR="0E586C2F">
        <w:t xml:space="preserve"> </w:t>
      </w:r>
      <w:r w:rsidR="2D5EAE9C">
        <w:t>and ensure a broader multidisciplinary membership</w:t>
      </w:r>
      <w:r w:rsidR="0E586C2F">
        <w:t>.</w:t>
      </w:r>
    </w:p>
    <w:p w14:paraId="5C8D63B5" w14:textId="51694C13" w:rsidR="6C5E4331" w:rsidRDefault="6C5E4331" w:rsidP="51CF3E03">
      <w:pPr>
        <w:rPr>
          <w:b/>
          <w:bCs/>
        </w:rPr>
      </w:pPr>
      <w:r w:rsidRPr="51CF3E03">
        <w:rPr>
          <w:b/>
          <w:bCs/>
        </w:rPr>
        <w:t>Organisation of Meetings</w:t>
      </w:r>
    </w:p>
    <w:p w14:paraId="1B4C9E8F" w14:textId="0DC6028E" w:rsidR="41E95FCE" w:rsidRDefault="41E95FCE" w:rsidP="51CF3E03">
      <w:r>
        <w:t>Meetings will be held monthly via Teams.  Meetings will usually be 12-2pm on a Thursday.</w:t>
      </w:r>
    </w:p>
    <w:p w14:paraId="55971DDA" w14:textId="78D51597" w:rsidR="7C695EDB" w:rsidRDefault="7C695EDB" w:rsidP="51CF3E03">
      <w:r>
        <w:t xml:space="preserve">The chair will be the </w:t>
      </w:r>
      <w:r w:rsidR="2DF0234F">
        <w:t xml:space="preserve">Deputy </w:t>
      </w:r>
      <w:r>
        <w:t>Chief Medical Officer of the ICB.</w:t>
      </w:r>
    </w:p>
    <w:p w14:paraId="69444DE2" w14:textId="0F5D5168" w:rsidR="13DFA1A9" w:rsidRDefault="13DFA1A9" w:rsidP="5C01027C">
      <w:r>
        <w:t>The Clinical and Care Forum will report and present recommendations to the ICS Clinical Executive Group.</w:t>
      </w:r>
    </w:p>
    <w:p w14:paraId="70CA0CAE" w14:textId="1AC74142" w:rsidR="275FE78B" w:rsidRDefault="275FE78B" w:rsidP="51CF3E03">
      <w:pPr>
        <w:rPr>
          <w:b/>
          <w:bCs/>
        </w:rPr>
      </w:pPr>
      <w:r w:rsidRPr="51CF3E03">
        <w:rPr>
          <w:b/>
          <w:bCs/>
        </w:rPr>
        <w:t>Membership</w:t>
      </w:r>
    </w:p>
    <w:p w14:paraId="196546D0" w14:textId="65D849BB" w:rsidR="046C40C0" w:rsidRDefault="59464C06" w:rsidP="51CF3E03">
      <w:r>
        <w:t>O</w:t>
      </w:r>
      <w:r w:rsidR="046C40C0">
        <w:t xml:space="preserve">rganisations </w:t>
      </w:r>
      <w:r w:rsidR="0D5ACF17">
        <w:t xml:space="preserve">and </w:t>
      </w:r>
      <w:r w:rsidR="104E4FC4">
        <w:t xml:space="preserve">professional </w:t>
      </w:r>
      <w:r w:rsidR="6A707708">
        <w:t>based</w:t>
      </w:r>
      <w:r w:rsidR="0D5ACF17">
        <w:t xml:space="preserve"> groups </w:t>
      </w:r>
      <w:r w:rsidR="046C40C0">
        <w:t xml:space="preserve">should nominate </w:t>
      </w:r>
      <w:r w:rsidR="49F208B6">
        <w:t>representative</w:t>
      </w:r>
      <w:r w:rsidR="7EEBB804">
        <w:t>s</w:t>
      </w:r>
      <w:r w:rsidR="046C40C0">
        <w:t xml:space="preserve"> to attend.</w:t>
      </w:r>
    </w:p>
    <w:p w14:paraId="47961D8C" w14:textId="1199DFE6" w:rsidR="49786121" w:rsidRDefault="49786121" w:rsidP="51CF3E03">
      <w:r>
        <w:t>Membership will be drawn from the following groups and organisations</w:t>
      </w:r>
      <w:r w:rsidR="3D42E156"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090"/>
        <w:gridCol w:w="2925"/>
      </w:tblGrid>
      <w:tr w:rsidR="51CF3E03" w14:paraId="15CFC8A9" w14:textId="77777777" w:rsidTr="4FC531F6">
        <w:trPr>
          <w:trHeight w:val="300"/>
        </w:trPr>
        <w:tc>
          <w:tcPr>
            <w:tcW w:w="6090" w:type="dxa"/>
            <w:shd w:val="clear" w:color="auto" w:fill="D9E2F3" w:themeFill="accent1" w:themeFillTint="33"/>
          </w:tcPr>
          <w:p w14:paraId="72C5041D" w14:textId="3D4F1CFE" w:rsidR="49786121" w:rsidRDefault="49786121" w:rsidP="51CF3E03">
            <w:pPr>
              <w:rPr>
                <w:rFonts w:eastAsiaTheme="minorEastAsia"/>
                <w:b/>
                <w:bCs/>
              </w:rPr>
            </w:pPr>
            <w:r w:rsidRPr="51CF3E03">
              <w:rPr>
                <w:rFonts w:eastAsiaTheme="minorEastAsia"/>
                <w:b/>
                <w:bCs/>
              </w:rPr>
              <w:t>Group/Organisation</w:t>
            </w:r>
          </w:p>
        </w:tc>
        <w:tc>
          <w:tcPr>
            <w:tcW w:w="2925" w:type="dxa"/>
            <w:shd w:val="clear" w:color="auto" w:fill="D9E2F3" w:themeFill="accent1" w:themeFillTint="33"/>
            <w:vAlign w:val="center"/>
          </w:tcPr>
          <w:p w14:paraId="07E385E0" w14:textId="142D95D5" w:rsidR="49786121" w:rsidRDefault="49786121" w:rsidP="51CF3E03">
            <w:pPr>
              <w:jc w:val="center"/>
              <w:rPr>
                <w:rFonts w:eastAsiaTheme="minorEastAsia"/>
                <w:b/>
                <w:bCs/>
              </w:rPr>
            </w:pPr>
            <w:r w:rsidRPr="51CF3E03">
              <w:rPr>
                <w:rFonts w:eastAsiaTheme="minorEastAsia"/>
                <w:b/>
                <w:bCs/>
              </w:rPr>
              <w:t>Number of Representatives</w:t>
            </w:r>
          </w:p>
        </w:tc>
      </w:tr>
      <w:tr w:rsidR="51CF3E03" w14:paraId="3A921F52" w14:textId="77777777" w:rsidTr="4FC531F6">
        <w:trPr>
          <w:trHeight w:val="300"/>
        </w:trPr>
        <w:tc>
          <w:tcPr>
            <w:tcW w:w="6090" w:type="dxa"/>
          </w:tcPr>
          <w:p w14:paraId="0CF445B7" w14:textId="5C66F2D8" w:rsidR="51CF3E03" w:rsidRDefault="51CF3E03" w:rsidP="51CF3E03">
            <w:pPr>
              <w:rPr>
                <w:rFonts w:eastAsiaTheme="minorEastAsia"/>
              </w:rPr>
            </w:pPr>
          </w:p>
        </w:tc>
        <w:tc>
          <w:tcPr>
            <w:tcW w:w="2925" w:type="dxa"/>
            <w:vAlign w:val="center"/>
          </w:tcPr>
          <w:p w14:paraId="332BCB68" w14:textId="5C66F2D8" w:rsidR="51CF3E03" w:rsidRDefault="51CF3E03" w:rsidP="51CF3E03">
            <w:pPr>
              <w:jc w:val="center"/>
              <w:rPr>
                <w:rFonts w:eastAsiaTheme="minorEastAsia"/>
              </w:rPr>
            </w:pPr>
          </w:p>
        </w:tc>
      </w:tr>
      <w:tr w:rsidR="51CF3E03" w14:paraId="45E9FED5" w14:textId="77777777" w:rsidTr="4FC531F6">
        <w:trPr>
          <w:trHeight w:val="300"/>
        </w:trPr>
        <w:tc>
          <w:tcPr>
            <w:tcW w:w="6090" w:type="dxa"/>
          </w:tcPr>
          <w:p w14:paraId="5F0F16C1" w14:textId="3462A4BF" w:rsidR="49786121" w:rsidRDefault="49786121" w:rsidP="51CF3E03">
            <w:pPr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 xml:space="preserve">Primary Care (including General practice, dentistry, </w:t>
            </w:r>
            <w:bookmarkStart w:id="1" w:name="_Int_ovUgSn6m"/>
            <w:proofErr w:type="gramStart"/>
            <w:r w:rsidRPr="51CF3E03">
              <w:rPr>
                <w:rFonts w:eastAsiaTheme="minorEastAsia"/>
              </w:rPr>
              <w:t>optometry</w:t>
            </w:r>
            <w:bookmarkEnd w:id="1"/>
            <w:proofErr w:type="gramEnd"/>
            <w:r w:rsidRPr="51CF3E03">
              <w:rPr>
                <w:rFonts w:eastAsiaTheme="minorEastAsia"/>
              </w:rPr>
              <w:t xml:space="preserve"> and pharmacy)</w:t>
            </w:r>
          </w:p>
        </w:tc>
        <w:tc>
          <w:tcPr>
            <w:tcW w:w="2925" w:type="dxa"/>
            <w:vAlign w:val="center"/>
          </w:tcPr>
          <w:p w14:paraId="5EB1CE65" w14:textId="4CE41B55" w:rsidR="49786121" w:rsidRDefault="49786121" w:rsidP="51CF3E03">
            <w:pPr>
              <w:jc w:val="center"/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4</w:t>
            </w:r>
          </w:p>
        </w:tc>
      </w:tr>
      <w:tr w:rsidR="51CF3E03" w14:paraId="7FFA6C01" w14:textId="77777777" w:rsidTr="4FC531F6">
        <w:trPr>
          <w:trHeight w:val="300"/>
        </w:trPr>
        <w:tc>
          <w:tcPr>
            <w:tcW w:w="6090" w:type="dxa"/>
          </w:tcPr>
          <w:p w14:paraId="4203D887" w14:textId="2B3EAB02" w:rsidR="49786121" w:rsidRDefault="49786121" w:rsidP="51CF3E03">
            <w:pPr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Coventry and Warwickshire Partnership Trust</w:t>
            </w:r>
          </w:p>
        </w:tc>
        <w:tc>
          <w:tcPr>
            <w:tcW w:w="2925" w:type="dxa"/>
            <w:vAlign w:val="center"/>
          </w:tcPr>
          <w:p w14:paraId="2B98CC6E" w14:textId="0834BCAD" w:rsidR="0E255E45" w:rsidRDefault="0E255E45" w:rsidP="51CF3E03">
            <w:pPr>
              <w:jc w:val="center"/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3</w:t>
            </w:r>
          </w:p>
        </w:tc>
      </w:tr>
      <w:tr w:rsidR="51CF3E03" w14:paraId="03BFFE74" w14:textId="77777777" w:rsidTr="4FC531F6">
        <w:trPr>
          <w:trHeight w:val="300"/>
        </w:trPr>
        <w:tc>
          <w:tcPr>
            <w:tcW w:w="6090" w:type="dxa"/>
          </w:tcPr>
          <w:p w14:paraId="643F061B" w14:textId="113A0857" w:rsidR="49786121" w:rsidRDefault="49786121" w:rsidP="51CF3E03">
            <w:pPr>
              <w:rPr>
                <w:rFonts w:eastAsiaTheme="minorEastAsia"/>
              </w:rPr>
            </w:pPr>
            <w:r w:rsidRPr="5C01027C">
              <w:rPr>
                <w:rFonts w:eastAsiaTheme="minorEastAsia"/>
              </w:rPr>
              <w:t>University Hospital Coventry and Warwickshire</w:t>
            </w:r>
            <w:r w:rsidR="773DA3D0" w:rsidRPr="5C01027C">
              <w:rPr>
                <w:rFonts w:eastAsiaTheme="minorEastAsia"/>
              </w:rPr>
              <w:t xml:space="preserve"> NHS Trust</w:t>
            </w:r>
          </w:p>
        </w:tc>
        <w:tc>
          <w:tcPr>
            <w:tcW w:w="2925" w:type="dxa"/>
            <w:vAlign w:val="center"/>
          </w:tcPr>
          <w:p w14:paraId="75323075" w14:textId="5F81FB06" w:rsidR="0E255E45" w:rsidRDefault="0E255E45" w:rsidP="51CF3E03">
            <w:pPr>
              <w:jc w:val="center"/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3</w:t>
            </w:r>
          </w:p>
        </w:tc>
      </w:tr>
      <w:tr w:rsidR="51CF3E03" w14:paraId="4779FDCD" w14:textId="77777777" w:rsidTr="4FC531F6">
        <w:trPr>
          <w:trHeight w:val="300"/>
        </w:trPr>
        <w:tc>
          <w:tcPr>
            <w:tcW w:w="6090" w:type="dxa"/>
          </w:tcPr>
          <w:p w14:paraId="0E78A019" w14:textId="768E62F0" w:rsidR="49786121" w:rsidRDefault="49786121" w:rsidP="51CF3E03">
            <w:pPr>
              <w:rPr>
                <w:rFonts w:eastAsiaTheme="minorEastAsia"/>
              </w:rPr>
            </w:pPr>
            <w:r w:rsidRPr="5C01027C">
              <w:rPr>
                <w:rFonts w:eastAsiaTheme="minorEastAsia"/>
              </w:rPr>
              <w:t>George Eliot Hospital</w:t>
            </w:r>
            <w:r w:rsidR="648E12C6" w:rsidRPr="5C01027C">
              <w:rPr>
                <w:rFonts w:eastAsiaTheme="minorEastAsia"/>
              </w:rPr>
              <w:t xml:space="preserve"> NHS Trust</w:t>
            </w:r>
          </w:p>
        </w:tc>
        <w:tc>
          <w:tcPr>
            <w:tcW w:w="2925" w:type="dxa"/>
            <w:vAlign w:val="center"/>
          </w:tcPr>
          <w:p w14:paraId="49EC49D1" w14:textId="49883E94" w:rsidR="7BAFD996" w:rsidRDefault="7BAFD996" w:rsidP="51CF3E03">
            <w:pPr>
              <w:jc w:val="center"/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3</w:t>
            </w:r>
          </w:p>
        </w:tc>
      </w:tr>
      <w:tr w:rsidR="51CF3E03" w14:paraId="4543EB3B" w14:textId="77777777" w:rsidTr="4FC531F6">
        <w:trPr>
          <w:trHeight w:val="300"/>
        </w:trPr>
        <w:tc>
          <w:tcPr>
            <w:tcW w:w="6090" w:type="dxa"/>
          </w:tcPr>
          <w:p w14:paraId="02152467" w14:textId="7FA0592A" w:rsidR="49786121" w:rsidRDefault="49786121" w:rsidP="51CF3E03">
            <w:pPr>
              <w:rPr>
                <w:rFonts w:eastAsiaTheme="minorEastAsia"/>
              </w:rPr>
            </w:pPr>
            <w:r w:rsidRPr="5C01027C">
              <w:rPr>
                <w:rFonts w:eastAsiaTheme="minorEastAsia"/>
              </w:rPr>
              <w:lastRenderedPageBreak/>
              <w:t xml:space="preserve">South Warwickshire </w:t>
            </w:r>
            <w:r w:rsidR="79E5A053" w:rsidRPr="5C01027C">
              <w:rPr>
                <w:rFonts w:eastAsiaTheme="minorEastAsia"/>
              </w:rPr>
              <w:t xml:space="preserve">NHS </w:t>
            </w:r>
            <w:r w:rsidRPr="5C01027C">
              <w:rPr>
                <w:rFonts w:eastAsiaTheme="minorEastAsia"/>
              </w:rPr>
              <w:t>Foundation Trust</w:t>
            </w:r>
          </w:p>
        </w:tc>
        <w:tc>
          <w:tcPr>
            <w:tcW w:w="2925" w:type="dxa"/>
            <w:vAlign w:val="center"/>
          </w:tcPr>
          <w:p w14:paraId="212FF12B" w14:textId="4935BE5F" w:rsidR="7BAFD996" w:rsidRDefault="7BAFD996" w:rsidP="51CF3E03">
            <w:pPr>
              <w:jc w:val="center"/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3</w:t>
            </w:r>
          </w:p>
        </w:tc>
      </w:tr>
      <w:tr w:rsidR="51CF3E03" w14:paraId="649816A5" w14:textId="77777777" w:rsidTr="4FC531F6">
        <w:trPr>
          <w:trHeight w:val="300"/>
        </w:trPr>
        <w:tc>
          <w:tcPr>
            <w:tcW w:w="6090" w:type="dxa"/>
          </w:tcPr>
          <w:p w14:paraId="674FEFFF" w14:textId="3427AB7A" w:rsidR="49786121" w:rsidRDefault="49786121" w:rsidP="51CF3E03">
            <w:pPr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Social Care (Coventry City Council and Warwickshire County Council)</w:t>
            </w:r>
          </w:p>
        </w:tc>
        <w:tc>
          <w:tcPr>
            <w:tcW w:w="2925" w:type="dxa"/>
            <w:vAlign w:val="center"/>
          </w:tcPr>
          <w:p w14:paraId="3795D90D" w14:textId="7D5C1E8A" w:rsidR="49786121" w:rsidRDefault="49786121" w:rsidP="51CF3E03">
            <w:pPr>
              <w:jc w:val="center"/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2</w:t>
            </w:r>
          </w:p>
        </w:tc>
      </w:tr>
      <w:tr w:rsidR="51CF3E03" w14:paraId="3CB157B7" w14:textId="77777777" w:rsidTr="4FC531F6">
        <w:trPr>
          <w:trHeight w:val="300"/>
        </w:trPr>
        <w:tc>
          <w:tcPr>
            <w:tcW w:w="6090" w:type="dxa"/>
          </w:tcPr>
          <w:p w14:paraId="4D89035A" w14:textId="7F166216" w:rsidR="49786121" w:rsidRDefault="49786121" w:rsidP="51CF3E03">
            <w:pPr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Coventry and Warwickshire Integrated Care Board</w:t>
            </w:r>
          </w:p>
        </w:tc>
        <w:tc>
          <w:tcPr>
            <w:tcW w:w="2925" w:type="dxa"/>
            <w:vAlign w:val="center"/>
          </w:tcPr>
          <w:p w14:paraId="7681CB94" w14:textId="4B54B547" w:rsidR="49786121" w:rsidRDefault="49786121" w:rsidP="51CF3E03">
            <w:pPr>
              <w:jc w:val="center"/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2</w:t>
            </w:r>
          </w:p>
        </w:tc>
      </w:tr>
      <w:tr w:rsidR="51CF3E03" w14:paraId="1EABB1B6" w14:textId="77777777" w:rsidTr="4FC531F6">
        <w:trPr>
          <w:trHeight w:val="300"/>
        </w:trPr>
        <w:tc>
          <w:tcPr>
            <w:tcW w:w="6090" w:type="dxa"/>
          </w:tcPr>
          <w:p w14:paraId="7488FFD5" w14:textId="36DE4ED2" w:rsidR="5970D030" w:rsidRDefault="545AF751" w:rsidP="51CF3E03">
            <w:pPr>
              <w:rPr>
                <w:rFonts w:eastAsiaTheme="minorEastAsia"/>
              </w:rPr>
            </w:pPr>
            <w:r w:rsidRPr="4FC531F6">
              <w:rPr>
                <w:rFonts w:eastAsiaTheme="minorEastAsia"/>
              </w:rPr>
              <w:t>Professional</w:t>
            </w:r>
            <w:r w:rsidR="3264708B" w:rsidRPr="4FC531F6">
              <w:rPr>
                <w:rFonts w:eastAsiaTheme="minorEastAsia"/>
              </w:rPr>
              <w:t xml:space="preserve"> Groups</w:t>
            </w:r>
          </w:p>
          <w:p w14:paraId="624F1E9E" w14:textId="7D5481E7" w:rsidR="5970D030" w:rsidRDefault="5970D030" w:rsidP="51CF3E0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Pharmacy</w:t>
            </w:r>
          </w:p>
          <w:p w14:paraId="2AC12E86" w14:textId="71E321AF" w:rsidR="5970D030" w:rsidRDefault="5970D030" w:rsidP="51CF3E0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Allied Health Professionals</w:t>
            </w:r>
          </w:p>
          <w:p w14:paraId="7E0A9D4A" w14:textId="4EB04D7C" w:rsidR="5970D030" w:rsidRDefault="5970D030" w:rsidP="51CF3E0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Psychological Professionals</w:t>
            </w:r>
          </w:p>
          <w:p w14:paraId="0B614A1A" w14:textId="1976A829" w:rsidR="5970D030" w:rsidRDefault="6DAADEC7" w:rsidP="51CF3E0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5C01027C">
              <w:rPr>
                <w:rFonts w:eastAsiaTheme="minorEastAsia"/>
              </w:rPr>
              <w:t>Clinical Scientists</w:t>
            </w:r>
          </w:p>
          <w:p w14:paraId="78393ACC" w14:textId="0EB8FF09" w:rsidR="5970D030" w:rsidRDefault="75425668" w:rsidP="51CF3E0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5C01027C">
              <w:rPr>
                <w:rFonts w:eastAsiaTheme="minorEastAsia"/>
              </w:rPr>
              <w:t>Public Health</w:t>
            </w:r>
          </w:p>
        </w:tc>
        <w:tc>
          <w:tcPr>
            <w:tcW w:w="2925" w:type="dxa"/>
            <w:vAlign w:val="bottom"/>
          </w:tcPr>
          <w:p w14:paraId="04D7B349" w14:textId="0F7AC816" w:rsidR="5970D030" w:rsidRDefault="75425668" w:rsidP="5C01027C">
            <w:pPr>
              <w:jc w:val="center"/>
              <w:rPr>
                <w:rFonts w:eastAsiaTheme="minorEastAsia"/>
              </w:rPr>
            </w:pPr>
            <w:r w:rsidRPr="5C01027C">
              <w:rPr>
                <w:rFonts w:eastAsiaTheme="minorEastAsia"/>
              </w:rPr>
              <w:t>1</w:t>
            </w:r>
          </w:p>
          <w:p w14:paraId="7148A6FD" w14:textId="01320FFC" w:rsidR="5970D030" w:rsidRDefault="6DAADEC7" w:rsidP="51CF3E03">
            <w:pPr>
              <w:jc w:val="center"/>
              <w:rPr>
                <w:rFonts w:eastAsiaTheme="minorEastAsia"/>
              </w:rPr>
            </w:pPr>
            <w:r w:rsidRPr="5C01027C">
              <w:rPr>
                <w:rFonts w:eastAsiaTheme="minorEastAsia"/>
              </w:rPr>
              <w:t>1</w:t>
            </w:r>
          </w:p>
          <w:p w14:paraId="63056C24" w14:textId="2D2EB765" w:rsidR="5970D030" w:rsidRDefault="5970D030" w:rsidP="51CF3E03">
            <w:pPr>
              <w:jc w:val="center"/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1</w:t>
            </w:r>
          </w:p>
          <w:p w14:paraId="3E00B5A6" w14:textId="4277B0AE" w:rsidR="5970D030" w:rsidRDefault="5970D030" w:rsidP="51CF3E03">
            <w:pPr>
              <w:jc w:val="center"/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1</w:t>
            </w:r>
          </w:p>
          <w:p w14:paraId="6A8F29C4" w14:textId="059FDD05" w:rsidR="5970D030" w:rsidRDefault="5970D030" w:rsidP="51CF3E03">
            <w:pPr>
              <w:jc w:val="center"/>
              <w:rPr>
                <w:rFonts w:eastAsiaTheme="minorEastAsia"/>
              </w:rPr>
            </w:pPr>
            <w:r w:rsidRPr="51CF3E03">
              <w:rPr>
                <w:rFonts w:eastAsiaTheme="minorEastAsia"/>
              </w:rPr>
              <w:t>1</w:t>
            </w:r>
          </w:p>
        </w:tc>
      </w:tr>
    </w:tbl>
    <w:p w14:paraId="479C449A" w14:textId="17A14D31" w:rsidR="51CF3E03" w:rsidRDefault="51CF3E03" w:rsidP="51CF3E03"/>
    <w:p w14:paraId="36FF6980" w14:textId="2DBDF1A8" w:rsidR="51CF3E03" w:rsidRDefault="51CF3E03" w:rsidP="51CF3E03"/>
    <w:p w14:paraId="501E815E" w14:textId="41FBB7FC" w:rsidR="51CF3E03" w:rsidRDefault="51CF3E03" w:rsidP="51CF3E03"/>
    <w:p w14:paraId="339F30F7" w14:textId="209A0D7F" w:rsidR="51CF3E03" w:rsidRDefault="51CF3E03" w:rsidP="51CF3E03"/>
    <w:p w14:paraId="1EBE1CFB" w14:textId="19AE15F5" w:rsidR="7B0E6533" w:rsidRDefault="7B0E6533" w:rsidP="7B0E6533"/>
    <w:p w14:paraId="36AFF9E3" w14:textId="0F9DC60B" w:rsidR="7B0E6533" w:rsidRDefault="7B0E6533" w:rsidP="7B0E6533"/>
    <w:p w14:paraId="3F8F8D9D" w14:textId="0C157776" w:rsidR="7B0E6533" w:rsidRDefault="7B0E6533">
      <w:r>
        <w:br w:type="page"/>
      </w:r>
    </w:p>
    <w:p w14:paraId="331D6CFF" w14:textId="7E1CF313" w:rsidR="2021A139" w:rsidRDefault="09268E54" w:rsidP="51CF3E03">
      <w:pPr>
        <w:rPr>
          <w:b/>
          <w:bCs/>
        </w:rPr>
      </w:pPr>
      <w:r w:rsidRPr="5C01027C">
        <w:rPr>
          <w:b/>
          <w:bCs/>
        </w:rPr>
        <w:lastRenderedPageBreak/>
        <w:t xml:space="preserve">Clinical and Care Forum Member </w:t>
      </w:r>
      <w:r w:rsidR="2021A139" w:rsidRPr="5C01027C">
        <w:rPr>
          <w:b/>
          <w:bCs/>
        </w:rPr>
        <w:t>Role Description</w:t>
      </w:r>
    </w:p>
    <w:p w14:paraId="78BFCE75" w14:textId="49E78D18" w:rsidR="5C01027C" w:rsidRDefault="5C01027C" w:rsidP="5C01027C"/>
    <w:p w14:paraId="06C1703C" w14:textId="163AEA02" w:rsidR="51CF3E03" w:rsidRDefault="65FE36F8" w:rsidP="51CF3E03">
      <w:r>
        <w:t>Role:</w:t>
      </w:r>
    </w:p>
    <w:p w14:paraId="466A5685" w14:textId="5B08C0CB" w:rsidR="4C87D6E9" w:rsidRDefault="4C87D6E9" w:rsidP="5C01027C">
      <w:pPr>
        <w:pStyle w:val="ListParagraph"/>
        <w:numPr>
          <w:ilvl w:val="0"/>
          <w:numId w:val="2"/>
        </w:numPr>
      </w:pPr>
      <w:r>
        <w:t xml:space="preserve">To represent </w:t>
      </w:r>
      <w:r w:rsidR="18D01A8C">
        <w:t xml:space="preserve">their organisation or group </w:t>
      </w:r>
      <w:r>
        <w:t xml:space="preserve">as a senior clinician on the </w:t>
      </w:r>
      <w:r w:rsidR="2B7FAB96">
        <w:t xml:space="preserve">Integrated Care System </w:t>
      </w:r>
      <w:r>
        <w:t>Clinical and Care Forum</w:t>
      </w:r>
    </w:p>
    <w:p w14:paraId="12F125AD" w14:textId="2FFD8FF6" w:rsidR="4BDD437D" w:rsidRDefault="4BDD437D" w:rsidP="5C01027C">
      <w:pPr>
        <w:pStyle w:val="ListParagraph"/>
        <w:numPr>
          <w:ilvl w:val="0"/>
          <w:numId w:val="2"/>
        </w:numPr>
      </w:pPr>
      <w:r>
        <w:t xml:space="preserve">To promote system wide and cross organisational working, </w:t>
      </w:r>
      <w:proofErr w:type="gramStart"/>
      <w:r>
        <w:t>coordination</w:t>
      </w:r>
      <w:proofErr w:type="gramEnd"/>
      <w:r>
        <w:t xml:space="preserve"> and cooperation </w:t>
      </w:r>
    </w:p>
    <w:p w14:paraId="04D000BE" w14:textId="341E2F01" w:rsidR="51CF3E03" w:rsidRDefault="4C87D6E9" w:rsidP="5C01027C">
      <w:pPr>
        <w:pStyle w:val="ListParagraph"/>
        <w:numPr>
          <w:ilvl w:val="0"/>
          <w:numId w:val="2"/>
        </w:numPr>
      </w:pPr>
      <w:r>
        <w:t>To advise on clinical matters on a wide range of issues including system wide transformation programmes</w:t>
      </w:r>
      <w:r w:rsidR="7CAA8D9B">
        <w:t xml:space="preserve">, </w:t>
      </w:r>
      <w:r>
        <w:t>service redesign</w:t>
      </w:r>
      <w:r w:rsidR="7CAA8D9B">
        <w:t xml:space="preserve"> or any other matter that the Integrated Care System requires</w:t>
      </w:r>
    </w:p>
    <w:p w14:paraId="3E46CFBB" w14:textId="422D38F2" w:rsidR="51CF3E03" w:rsidRDefault="02856A91" w:rsidP="5C01027C">
      <w:pPr>
        <w:pStyle w:val="ListParagraph"/>
        <w:numPr>
          <w:ilvl w:val="0"/>
          <w:numId w:val="2"/>
        </w:numPr>
      </w:pPr>
      <w:r>
        <w:t xml:space="preserve">To consider and advise on clinical matters that may be contentious, conflicting or where there is a lack of agreement and seek to reach a consensus </w:t>
      </w:r>
      <w:r w:rsidR="25E6240F">
        <w:t>demonstrating professional</w:t>
      </w:r>
      <w:r>
        <w:t xml:space="preserve"> and collaborative</w:t>
      </w:r>
      <w:r w:rsidR="5F21A78C">
        <w:t xml:space="preserve"> behaviour</w:t>
      </w:r>
    </w:p>
    <w:p w14:paraId="3BA2BBFD" w14:textId="7B73FB9B" w:rsidR="51CF3E03" w:rsidRDefault="02856A91" w:rsidP="5C01027C">
      <w:pPr>
        <w:pStyle w:val="ListParagraph"/>
        <w:numPr>
          <w:ilvl w:val="0"/>
          <w:numId w:val="4"/>
        </w:numPr>
      </w:pPr>
      <w:r>
        <w:t xml:space="preserve">Coordinate clinical opinion from health and care professionals </w:t>
      </w:r>
      <w:r w:rsidR="23A8F100">
        <w:t xml:space="preserve">regarding system wide areas of concern or improvement </w:t>
      </w:r>
      <w:r w:rsidR="2A0F8764">
        <w:t>and use the Clinical and Care Forum as a vehicle for debate and escalation of solutions</w:t>
      </w:r>
    </w:p>
    <w:p w14:paraId="0552731D" w14:textId="4C019E5F" w:rsidR="51CF3E03" w:rsidRDefault="02856A91" w:rsidP="5C01027C">
      <w:pPr>
        <w:pStyle w:val="ListParagraph"/>
        <w:numPr>
          <w:ilvl w:val="0"/>
          <w:numId w:val="4"/>
        </w:numPr>
      </w:pPr>
      <w:r>
        <w:t xml:space="preserve">Provide proactive </w:t>
      </w:r>
      <w:r w:rsidR="30761DC8">
        <w:t xml:space="preserve">clinical </w:t>
      </w:r>
      <w:r>
        <w:t>advice about the areas for inquiry or collaboration, and the areas for further analysis of current evidence and practice</w:t>
      </w:r>
    </w:p>
    <w:p w14:paraId="6956AEAE" w14:textId="4ED12B26" w:rsidR="51CF3E03" w:rsidRDefault="275951C7" w:rsidP="5C01027C">
      <w:pPr>
        <w:pStyle w:val="ListParagraph"/>
        <w:numPr>
          <w:ilvl w:val="0"/>
          <w:numId w:val="4"/>
        </w:numPr>
      </w:pPr>
      <w:r>
        <w:t xml:space="preserve">Feedback system wide clinical transformation and policy to organisations and groups as a means of familiarising colleagues with these </w:t>
      </w:r>
    </w:p>
    <w:p w14:paraId="3EEAF441" w14:textId="6978A29B" w:rsidR="51CF3E03" w:rsidRDefault="02856A91" w:rsidP="5C01027C">
      <w:pPr>
        <w:pStyle w:val="ListParagraph"/>
        <w:numPr>
          <w:ilvl w:val="0"/>
          <w:numId w:val="4"/>
        </w:numPr>
      </w:pPr>
      <w:r>
        <w:t>Promote Clinical Leadership and Clinical Networking as a means of service and quality improvement</w:t>
      </w:r>
    </w:p>
    <w:p w14:paraId="5D83E552" w14:textId="62C3B382" w:rsidR="51CF3E03" w:rsidRDefault="0FC89061" w:rsidP="5C01027C">
      <w:pPr>
        <w:pStyle w:val="ListParagraph"/>
        <w:numPr>
          <w:ilvl w:val="0"/>
          <w:numId w:val="4"/>
        </w:numPr>
      </w:pPr>
      <w:r>
        <w:t>Develop recommendations for all the above for consideration by the ICS Clinical Executive Group</w:t>
      </w:r>
    </w:p>
    <w:p w14:paraId="139D2E8F" w14:textId="56E64C6B" w:rsidR="51CF3E03" w:rsidRDefault="5215A479" w:rsidP="5C01027C">
      <w:pPr>
        <w:rPr>
          <w:b/>
          <w:bCs/>
        </w:rPr>
      </w:pPr>
      <w:r w:rsidRPr="5C01027C">
        <w:rPr>
          <w:b/>
          <w:bCs/>
        </w:rPr>
        <w:t>Person Specification</w:t>
      </w:r>
    </w:p>
    <w:p w14:paraId="4E6F29A6" w14:textId="4D9D1E17" w:rsidR="5215A479" w:rsidRDefault="5215A479" w:rsidP="5C01027C">
      <w:pPr>
        <w:rPr>
          <w:b/>
          <w:bCs/>
        </w:rPr>
      </w:pPr>
      <w:r>
        <w:t>Members should:</w:t>
      </w:r>
    </w:p>
    <w:p w14:paraId="0104CD3C" w14:textId="3DC96E4E" w:rsidR="4550A991" w:rsidRDefault="4550A991" w:rsidP="5C01027C">
      <w:pPr>
        <w:pStyle w:val="ListParagraph"/>
        <w:numPr>
          <w:ilvl w:val="0"/>
          <w:numId w:val="1"/>
        </w:numPr>
      </w:pPr>
      <w:r>
        <w:t xml:space="preserve">Be collaborative and </w:t>
      </w:r>
      <w:r w:rsidR="397DA7F3">
        <w:t>have</w:t>
      </w:r>
      <w:r>
        <w:t xml:space="preserve"> a track record of working successfully between organisations and professional groups</w:t>
      </w:r>
    </w:p>
    <w:p w14:paraId="6F37BFE2" w14:textId="0F7834DD" w:rsidR="4550A991" w:rsidRDefault="4550A991" w:rsidP="5C01027C">
      <w:pPr>
        <w:pStyle w:val="ListParagraph"/>
        <w:numPr>
          <w:ilvl w:val="0"/>
          <w:numId w:val="1"/>
        </w:numPr>
      </w:pPr>
      <w:r>
        <w:t xml:space="preserve">Understand the importance of system working as a vehicle for service improvement and the context </w:t>
      </w:r>
      <w:r w:rsidR="33941353">
        <w:t xml:space="preserve">and purpose </w:t>
      </w:r>
      <w:r>
        <w:t xml:space="preserve">of </w:t>
      </w:r>
      <w:proofErr w:type="spellStart"/>
      <w:r>
        <w:t>Intergrated</w:t>
      </w:r>
      <w:proofErr w:type="spellEnd"/>
      <w:r>
        <w:t xml:space="preserve"> Care Systems</w:t>
      </w:r>
    </w:p>
    <w:p w14:paraId="34D6E9D9" w14:textId="4EBA2B34" w:rsidR="6F90FC01" w:rsidRDefault="6F90FC01" w:rsidP="5C01027C">
      <w:pPr>
        <w:pStyle w:val="ListParagraph"/>
        <w:numPr>
          <w:ilvl w:val="0"/>
          <w:numId w:val="1"/>
        </w:numPr>
      </w:pPr>
      <w:r>
        <w:t>Understand and</w:t>
      </w:r>
      <w:r w:rsidR="7DB3B030">
        <w:t xml:space="preserve"> be able to constructively</w:t>
      </w:r>
      <w:r>
        <w:t xml:space="preserve"> critique the implications of complex system wide transformation programmes</w:t>
      </w:r>
    </w:p>
    <w:p w14:paraId="59A90910" w14:textId="5973A1EB" w:rsidR="6F90FC01" w:rsidRDefault="6F90FC01" w:rsidP="5C01027C">
      <w:pPr>
        <w:pStyle w:val="ListParagraph"/>
        <w:numPr>
          <w:ilvl w:val="0"/>
          <w:numId w:val="1"/>
        </w:numPr>
      </w:pPr>
      <w:r>
        <w:t xml:space="preserve">Be able to consider, debate and </w:t>
      </w:r>
      <w:r w:rsidR="04075EE5">
        <w:t>negotiate</w:t>
      </w:r>
      <w:r>
        <w:t xml:space="preserve"> complex and contentious issues in a professional and collegiate manner</w:t>
      </w:r>
    </w:p>
    <w:p w14:paraId="311B88B6" w14:textId="5B772F32" w:rsidR="6F90FC01" w:rsidRDefault="6F90FC01" w:rsidP="5C01027C">
      <w:pPr>
        <w:pStyle w:val="ListParagraph"/>
        <w:numPr>
          <w:ilvl w:val="0"/>
          <w:numId w:val="1"/>
        </w:numPr>
      </w:pPr>
      <w:r>
        <w:t xml:space="preserve">Be sufficiently senior within their organisation or group to be able to </w:t>
      </w:r>
      <w:r w:rsidR="5A2B355A">
        <w:t>involve subject matter experts if required to give expert opinions on specific topics where required</w:t>
      </w:r>
    </w:p>
    <w:p w14:paraId="7EA53693" w14:textId="65C1F4C1" w:rsidR="6FB6FF89" w:rsidRDefault="6FB6FF89" w:rsidP="5C01027C">
      <w:pPr>
        <w:pStyle w:val="ListParagraph"/>
        <w:numPr>
          <w:ilvl w:val="0"/>
          <w:numId w:val="1"/>
        </w:numPr>
      </w:pPr>
      <w:r>
        <w:t>Understand the importance of clinical leadership as a tool for quality and service improvement</w:t>
      </w:r>
    </w:p>
    <w:p w14:paraId="4CEBCDE4" w14:textId="4E88FBB9" w:rsidR="5C01027C" w:rsidRDefault="5C01027C" w:rsidP="5C01027C"/>
    <w:sectPr w:rsidR="5C0102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dOXeUef" int2:invalidationBookmarkName="" int2:hashCode="NGEjBTv9+nFTHC" int2:id="byHr0WSc">
      <int2:state int2:value="Rejected" int2:type="AugLoop_Text_Critique"/>
    </int2:bookmark>
    <int2:bookmark int2:bookmarkName="_Int_ovUgSn6m" int2:invalidationBookmarkName="" int2:hashCode="jcHfgi0lb52Pn/" int2:id="slFbRDz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237A"/>
    <w:multiLevelType w:val="hybridMultilevel"/>
    <w:tmpl w:val="65FCEDCA"/>
    <w:lvl w:ilvl="0" w:tplc="E68AC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4B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63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A4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7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2F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EA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24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0F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99F1C"/>
    <w:multiLevelType w:val="hybridMultilevel"/>
    <w:tmpl w:val="B27CEEB6"/>
    <w:lvl w:ilvl="0" w:tplc="410AB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20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A1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62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CE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C1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60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CB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8B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BC6E"/>
    <w:multiLevelType w:val="hybridMultilevel"/>
    <w:tmpl w:val="C92C50E6"/>
    <w:lvl w:ilvl="0" w:tplc="DC9CC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86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85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E1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66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6F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23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6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87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32D3"/>
    <w:multiLevelType w:val="hybridMultilevel"/>
    <w:tmpl w:val="0DAE3F36"/>
    <w:lvl w:ilvl="0" w:tplc="43D25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4C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0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01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A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E5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A4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0B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29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46FCE3"/>
    <w:rsid w:val="00263FE0"/>
    <w:rsid w:val="007665DB"/>
    <w:rsid w:val="00792C6E"/>
    <w:rsid w:val="009EDD42"/>
    <w:rsid w:val="00C9DEAF"/>
    <w:rsid w:val="0135AFD9"/>
    <w:rsid w:val="02856A91"/>
    <w:rsid w:val="02D1803A"/>
    <w:rsid w:val="04075EE5"/>
    <w:rsid w:val="046C40C0"/>
    <w:rsid w:val="046D509B"/>
    <w:rsid w:val="04753E21"/>
    <w:rsid w:val="062C0EAE"/>
    <w:rsid w:val="07C7DF0F"/>
    <w:rsid w:val="09268E54"/>
    <w:rsid w:val="0948AF44"/>
    <w:rsid w:val="0963AF70"/>
    <w:rsid w:val="097CD7CD"/>
    <w:rsid w:val="09C1523D"/>
    <w:rsid w:val="0AFF7FD1"/>
    <w:rsid w:val="0B18A82E"/>
    <w:rsid w:val="0D5ACF17"/>
    <w:rsid w:val="0E255E45"/>
    <w:rsid w:val="0E372093"/>
    <w:rsid w:val="0E586C2F"/>
    <w:rsid w:val="0FB7F0C8"/>
    <w:rsid w:val="0FC89061"/>
    <w:rsid w:val="0FD2F0F4"/>
    <w:rsid w:val="104E4FC4"/>
    <w:rsid w:val="109426BF"/>
    <w:rsid w:val="10BCEE92"/>
    <w:rsid w:val="11459222"/>
    <w:rsid w:val="114BD3A3"/>
    <w:rsid w:val="1153C129"/>
    <w:rsid w:val="13DFA1A9"/>
    <w:rsid w:val="15B61220"/>
    <w:rsid w:val="1619C7A2"/>
    <w:rsid w:val="17514012"/>
    <w:rsid w:val="1878BEEC"/>
    <w:rsid w:val="18D01A8C"/>
    <w:rsid w:val="1979D33A"/>
    <w:rsid w:val="19BB0AD5"/>
    <w:rsid w:val="1AF2B5E9"/>
    <w:rsid w:val="1B15A39B"/>
    <w:rsid w:val="1CB173FC"/>
    <w:rsid w:val="2021A139"/>
    <w:rsid w:val="22461AEA"/>
    <w:rsid w:val="22809598"/>
    <w:rsid w:val="23A8F100"/>
    <w:rsid w:val="23E04FEA"/>
    <w:rsid w:val="257C204B"/>
    <w:rsid w:val="25E6240F"/>
    <w:rsid w:val="2612F2E2"/>
    <w:rsid w:val="261798CB"/>
    <w:rsid w:val="26585642"/>
    <w:rsid w:val="275951C7"/>
    <w:rsid w:val="275FE78B"/>
    <w:rsid w:val="27639D82"/>
    <w:rsid w:val="27F426A3"/>
    <w:rsid w:val="2865A32A"/>
    <w:rsid w:val="28FF6DE3"/>
    <w:rsid w:val="29B93371"/>
    <w:rsid w:val="2A0F8764"/>
    <w:rsid w:val="2AA6F224"/>
    <w:rsid w:val="2B1BD8C7"/>
    <w:rsid w:val="2B2BC765"/>
    <w:rsid w:val="2B7FAB96"/>
    <w:rsid w:val="2BF4EAB6"/>
    <w:rsid w:val="2C0E4F81"/>
    <w:rsid w:val="2C3D71A9"/>
    <w:rsid w:val="2CCF854C"/>
    <w:rsid w:val="2D5EAE9C"/>
    <w:rsid w:val="2D873230"/>
    <w:rsid w:val="2DF0234F"/>
    <w:rsid w:val="2E7AF523"/>
    <w:rsid w:val="2F05F996"/>
    <w:rsid w:val="2F2C8B78"/>
    <w:rsid w:val="2F45F043"/>
    <w:rsid w:val="304CE64B"/>
    <w:rsid w:val="30761DC8"/>
    <w:rsid w:val="30C85BD9"/>
    <w:rsid w:val="32642C3A"/>
    <w:rsid w:val="3264708B"/>
    <w:rsid w:val="33941353"/>
    <w:rsid w:val="33DC6AF8"/>
    <w:rsid w:val="33F673B4"/>
    <w:rsid w:val="33FFFC9B"/>
    <w:rsid w:val="36DD32BD"/>
    <w:rsid w:val="3728B7A1"/>
    <w:rsid w:val="372E1476"/>
    <w:rsid w:val="381237F3"/>
    <w:rsid w:val="38C9E4D7"/>
    <w:rsid w:val="397DA7F3"/>
    <w:rsid w:val="3A88A2EA"/>
    <w:rsid w:val="3A99DDC1"/>
    <w:rsid w:val="3B4F72CD"/>
    <w:rsid w:val="3C499DF7"/>
    <w:rsid w:val="3D42E156"/>
    <w:rsid w:val="3DB2B96D"/>
    <w:rsid w:val="3EC39D66"/>
    <w:rsid w:val="40369128"/>
    <w:rsid w:val="40F7E46E"/>
    <w:rsid w:val="41E95FCE"/>
    <w:rsid w:val="4354EA9A"/>
    <w:rsid w:val="43648A10"/>
    <w:rsid w:val="4447097D"/>
    <w:rsid w:val="4532DEEA"/>
    <w:rsid w:val="4550A991"/>
    <w:rsid w:val="45595C07"/>
    <w:rsid w:val="48F1BB7C"/>
    <w:rsid w:val="49786121"/>
    <w:rsid w:val="49C290BD"/>
    <w:rsid w:val="49F208B6"/>
    <w:rsid w:val="4BDD437D"/>
    <w:rsid w:val="4C3A9715"/>
    <w:rsid w:val="4C87D6E9"/>
    <w:rsid w:val="4D73C8F9"/>
    <w:rsid w:val="4DD66776"/>
    <w:rsid w:val="4E6DF423"/>
    <w:rsid w:val="4E7CD983"/>
    <w:rsid w:val="4FC531F6"/>
    <w:rsid w:val="5018A9E4"/>
    <w:rsid w:val="51B47A45"/>
    <w:rsid w:val="51CF3E03"/>
    <w:rsid w:val="5215A479"/>
    <w:rsid w:val="52A9D899"/>
    <w:rsid w:val="5354C9A9"/>
    <w:rsid w:val="53C87319"/>
    <w:rsid w:val="53DA5F5D"/>
    <w:rsid w:val="545AF751"/>
    <w:rsid w:val="569094FA"/>
    <w:rsid w:val="5699263F"/>
    <w:rsid w:val="578AC024"/>
    <w:rsid w:val="585FD1D8"/>
    <w:rsid w:val="588890FC"/>
    <w:rsid w:val="59464C06"/>
    <w:rsid w:val="5970D030"/>
    <w:rsid w:val="59D8B487"/>
    <w:rsid w:val="5A2B355A"/>
    <w:rsid w:val="5B48FC4B"/>
    <w:rsid w:val="5BC031BE"/>
    <w:rsid w:val="5C01027C"/>
    <w:rsid w:val="5C60CBB1"/>
    <w:rsid w:val="5CF72B5E"/>
    <w:rsid w:val="5D77C352"/>
    <w:rsid w:val="5F21A78C"/>
    <w:rsid w:val="5F885BA1"/>
    <w:rsid w:val="60400885"/>
    <w:rsid w:val="606AE3BD"/>
    <w:rsid w:val="6446FCE3"/>
    <w:rsid w:val="648E12C6"/>
    <w:rsid w:val="65FE36F8"/>
    <w:rsid w:val="685307F0"/>
    <w:rsid w:val="6A707708"/>
    <w:rsid w:val="6C4C1AEB"/>
    <w:rsid w:val="6C5E4331"/>
    <w:rsid w:val="6D4966C5"/>
    <w:rsid w:val="6DAADEC7"/>
    <w:rsid w:val="6F1478CE"/>
    <w:rsid w:val="6F1B02F9"/>
    <w:rsid w:val="6F1B818A"/>
    <w:rsid w:val="6F90FC01"/>
    <w:rsid w:val="6FB6FF89"/>
    <w:rsid w:val="705E19D5"/>
    <w:rsid w:val="711F8C0E"/>
    <w:rsid w:val="71F9EA36"/>
    <w:rsid w:val="725DDAFD"/>
    <w:rsid w:val="7395BA97"/>
    <w:rsid w:val="74C7B5E3"/>
    <w:rsid w:val="75425668"/>
    <w:rsid w:val="773DA3D0"/>
    <w:rsid w:val="77B41B69"/>
    <w:rsid w:val="77CAE3A1"/>
    <w:rsid w:val="78384D8B"/>
    <w:rsid w:val="792A9DF3"/>
    <w:rsid w:val="79E5A053"/>
    <w:rsid w:val="7B0E6533"/>
    <w:rsid w:val="7B3D3B7F"/>
    <w:rsid w:val="7BAFD996"/>
    <w:rsid w:val="7C695EDB"/>
    <w:rsid w:val="7CAA8D9B"/>
    <w:rsid w:val="7D5F8A8F"/>
    <w:rsid w:val="7DB3B030"/>
    <w:rsid w:val="7E2550B9"/>
    <w:rsid w:val="7EEBB804"/>
    <w:rsid w:val="7FC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FCE3"/>
  <w15:chartTrackingRefBased/>
  <w15:docId w15:val="{859CF080-AFB8-4E53-8270-E9E16B5B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CALEY, Michael (NHS COVENTRY AND WARWICKSHIRE ICB - B2M3M)</dc:creator>
  <cp:keywords/>
  <dc:description/>
  <cp:lastModifiedBy>Norman Byrd</cp:lastModifiedBy>
  <cp:revision>2</cp:revision>
  <dcterms:created xsi:type="dcterms:W3CDTF">2023-05-17T10:38:00Z</dcterms:created>
  <dcterms:modified xsi:type="dcterms:W3CDTF">2023-05-17T10:38:00Z</dcterms:modified>
</cp:coreProperties>
</file>